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Rajnesh v. Neha (2020) – Full Case Details, Analysis &amp; Practical Formats</w:t>
      </w:r>
    </w:p>
    <w:p>
      <w:pPr>
        <w:pStyle w:val="Heading2"/>
      </w:pPr>
      <w:r>
        <w:t>1. Case Citation &amp; Bench</w:t>
      </w:r>
    </w:p>
    <w:p>
      <w:r>
        <w:t>Case Name: Rajnesh v. Neha &amp; Anr.</w:t>
        <w:br/>
        <w:t>Citation: (2021) 2 SCC 324</w:t>
        <w:br/>
        <w:t>Court: Supreme Court of India</w:t>
        <w:br/>
        <w:t>Date of Judgment: 4 November 2020</w:t>
        <w:br/>
        <w:t>Bench: Justice Indu Malhotra &amp; Justice R. Subhash Reddy</w:t>
      </w:r>
    </w:p>
    <w:p>
      <w:pPr>
        <w:pStyle w:val="Heading2"/>
      </w:pPr>
      <w:r>
        <w:t>2. Background of the Case</w:t>
      </w:r>
    </w:p>
    <w:p>
      <w:r>
        <w:t>The case arose from multiple maintenance proceedings filed under different statutes, including Section 125 CrPC, Protection of Women from Domestic Violence Act, 2005, and Hindu Marriage Act, 1955. The Supreme Court addressed the issue of overlapping jurisdiction and lack of uniformity in maintenance awards.</w:t>
      </w:r>
    </w:p>
    <w:p>
      <w:pPr>
        <w:pStyle w:val="Heading2"/>
      </w:pPr>
      <w:r>
        <w:t>3. Key Issues</w:t>
      </w:r>
    </w:p>
    <w:p>
      <w:r>
        <w:t>• Whether maintenance can be claimed under multiple statutes simultaneously.</w:t>
        <w:br/>
        <w:t>• Need for uniform guidelines for determining quantum of maintenance.</w:t>
        <w:br/>
        <w:t>• Standardisation of financial disclosure.</w:t>
        <w:br/>
        <w:t>• Date from which maintenance should be awarded.</w:t>
      </w:r>
    </w:p>
    <w:p>
      <w:pPr>
        <w:pStyle w:val="Heading2"/>
      </w:pPr>
      <w:r>
        <w:t>4. Supreme Court Guidelines</w:t>
      </w:r>
    </w:p>
    <w:p>
      <w:r>
        <w:t>A. Overlapping Jurisdiction:</w:t>
        <w:br/>
        <w:t>Courts must consider maintenance awarded in previous proceedings to avoid duplication.</w:t>
        <w:br/>
        <w:br/>
        <w:t>B. Mandatory Affidavit of Disclosure:</w:t>
        <w:br/>
        <w:t>Both parties must file detailed affidavits of assets, income, and liabilities.</w:t>
        <w:br/>
        <w:br/>
        <w:t>C. Criteria for Determining Maintenance:</w:t>
        <w:br/>
        <w:t>Status of parties, reasonable needs, income and property, dependents, liabilities, standard of living.</w:t>
        <w:br/>
        <w:br/>
        <w:t>D. Date of Award:</w:t>
        <w:br/>
        <w:t>Maintenance should ordinarily be awarded from the date of application.</w:t>
        <w:br/>
        <w:br/>
        <w:t>E. Enforcement:</w:t>
        <w:br/>
        <w:t>Orders must be enforced effectively and promptly.</w:t>
      </w:r>
    </w:p>
    <w:p>
      <w:pPr>
        <w:pStyle w:val="Heading2"/>
      </w:pPr>
      <w:r>
        <w:t>5. Legal Impact &amp; Significance</w:t>
      </w:r>
    </w:p>
    <w:p>
      <w:r>
        <w:t>• Landmark judgment creating uniform national guidelines.</w:t>
        <w:br/>
        <w:t>• Reduced conflicting maintenance orders.</w:t>
        <w:br/>
        <w:t>• Introduced structured affidavit formats.</w:t>
        <w:br/>
        <w:t>• Strengthened rights of women and dependent spouses.</w:t>
        <w:br/>
        <w:t>• Brought procedural discipline in maintenance litigation.</w:t>
      </w:r>
    </w:p>
    <w:p>
      <w:pPr>
        <w:pStyle w:val="Heading2"/>
      </w:pPr>
      <w:r>
        <w:t>6. Practical Court Analysis (For Advocates)</w:t>
      </w:r>
    </w:p>
    <w:p>
      <w:r>
        <w:t>• Always file affidavit of disclosure as per Rajnesh guidelines.</w:t>
        <w:br/>
        <w:t>• Highlight concealment of income by opposite party.</w:t>
        <w:br/>
        <w:t>• Argue maintenance from date of application.</w:t>
        <w:br/>
        <w:t>• Adjust previous maintenance orders if any.</w:t>
        <w:br/>
        <w:t>• Emphasize lifestyle and actual earning capacity.</w:t>
      </w:r>
    </w:p>
    <w:p>
      <w:pPr>
        <w:pStyle w:val="Heading2"/>
      </w:pPr>
      <w:r>
        <w:t>7. Format – Affidavit of Assets &amp; Income (Short Model)</w:t>
      </w:r>
    </w:p>
    <w:p>
      <w:r>
        <w:t>IN THE COURT OF ____________</w:t>
        <w:br/>
        <w:t>Case No: ____________</w:t>
        <w:br/>
        <w:br/>
        <w:t>AFFIDAVIT OF DISCLOSURE OF ASSETS AND LIABILITIES</w:t>
        <w:br/>
        <w:br/>
        <w:t>1. Name:</w:t>
        <w:br/>
        <w:t>2. Age:</w:t>
        <w:br/>
        <w:t>3. Occupation:</w:t>
        <w:br/>
        <w:t>4. Monthly Income (All Sources):</w:t>
        <w:br/>
        <w:t>5. Movable Assets:</w:t>
        <w:br/>
        <w:t>6. Immovable Properties:</w:t>
        <w:br/>
        <w:t>7. Bank Accounts:</w:t>
        <w:br/>
        <w:t>8. Liabilities/Loans:</w:t>
        <w:br/>
        <w:t>9. Dependents:</w:t>
        <w:br/>
        <w:br/>
        <w:t>I hereby declare that the above information is true and correct.</w:t>
        <w:br/>
        <w:br/>
        <w:t>Date:</w:t>
        <w:br/>
        <w:t>Place:</w:t>
        <w:br/>
        <w:t>Signature:</w:t>
      </w:r>
    </w:p>
    <w:p>
      <w:pPr>
        <w:pStyle w:val="Heading2"/>
      </w:pPr>
      <w:r>
        <w:t>8. Format – Maintenance Application (Sample)</w:t>
      </w:r>
    </w:p>
    <w:p>
      <w:r>
        <w:t>APPLICATION UNDER SECTION 125 CrPC FOR GRANT OF MAINTENANCE</w:t>
        <w:br/>
        <w:br/>
        <w:t>Most Respectfully Submitted:</w:t>
        <w:br/>
        <w:t>1. That the applicant is legally wedded wife.</w:t>
        <w:br/>
        <w:t>2. That the respondent has neglected/refused to maintain the applicant.</w:t>
        <w:br/>
        <w:t>3. That the respondent has sufficient means.</w:t>
        <w:br/>
        <w:t>4. That the applicant has no independent income.</w:t>
        <w:br/>
        <w:br/>
        <w:t>PRAYER:</w:t>
        <w:br/>
        <w:t>It is therefore prayed that this Hon’ble Court may grant monthly maintenance of Rs. ______ from the date of application.</w:t>
        <w:br/>
        <w:br/>
        <w:t>Place:</w:t>
        <w:br/>
        <w:t>Date:</w:t>
        <w:br/>
        <w:t>Advocate for Applicant</w:t>
      </w:r>
    </w:p>
    <w:p>
      <w:pPr>
        <w:pStyle w:val="Heading2"/>
      </w:pPr>
      <w:r>
        <w:t>9. Conclusion</w:t>
      </w:r>
    </w:p>
    <w:p>
      <w:r>
        <w:t>Rajnesh v. Neha is a foundational precedent governing maintenance law in India. It ensures fairness, transparency, and uniformity in maintenance adjudication across all courts.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